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14052</w:t>
        <w:t xml:space="preserve">.  </w:t>
      </w:r>
      <w:r>
        <w:rPr>
          <w:b/>
        </w:rPr>
        <w:t xml:space="preserve">Registration required</w:t>
      </w:r>
    </w:p>
    <w:p>
      <w:pPr>
        <w:jc w:val="both"/>
        <w:spacing w:before="100" w:after="100"/>
        <w:ind w:start="360"/>
        <w:ind w:firstLine="360"/>
      </w:pPr>
      <w:r>
        <w:rPr/>
      </w:r>
      <w:r>
        <w:rPr/>
      </w:r>
      <w:r>
        <w:t xml:space="preserve">An employee leasing company may not engage in business from offices in this State or enter into any contractual relationship with a client company for the purpose of providing employees for business conducted by the client company in this State unless the employee leasing company is registered under this chapter.  An employee leasing company or person may not use the name or title "staff leasing company," "employee leasing company," "registered staff leasing company," or "staff leasing services company" or otherwise represent that it is registered under this chapter unless the entity or person is registered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618,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1995, c. 618,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§14052.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§14052.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§14052.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