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14225</w:t>
        <w:t xml:space="preserve">.  </w:t>
      </w:r>
      <w:r>
        <w:rPr>
          <w:b/>
        </w:rPr>
        <w:t xml:space="preserve">Special mobile establishment license</w:t>
      </w:r>
    </w:p>
    <w:p>
      <w:pPr>
        <w:jc w:val="both"/>
        <w:spacing w:before="100" w:after="100"/>
        <w:ind w:start="360"/>
        <w:ind w:firstLine="360"/>
      </w:pPr>
      <w:r>
        <w:rPr/>
      </w:r>
      <w:r>
        <w:rPr/>
      </w:r>
      <w:r>
        <w:t xml:space="preserve">The director may, subject to </w:t>
      </w:r>
      <w:r>
        <w:t>section 14212‑A, subsection 2</w:t>
      </w:r>
      <w:r>
        <w:t xml:space="preserve">, adopt rules authorizing the issuance of special mobile establishment licenses, including requirements for mobile establishments, locations for these establishments and any other rules that the director considers necessary.  The fee for a special mobile establishment license is set under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w:pPr>
        <w:jc w:val="both"/>
        <w:spacing w:before="100" w:after="100"/>
        <w:ind w:start="360"/>
        <w:ind w:firstLine="360"/>
      </w:pPr>
      <w:r>
        <w:rPr/>
      </w:r>
      <w:r>
        <w:rPr/>
      </w:r>
      <w:r>
        <w:t xml:space="preserve">A special mobile establishment license issued pursuant to this section must set out on the license the area in which that mobile establishment is authorized to operate and any other special requirements or restrictions to which that license is subject.  A separate license must be obtained for each municipality in which a mobile establishment operates.</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§11 (AMD). PL 2009, c. 369, Pt. B, §16 (AMD). PL 2011, c. 286, Pt. M, §15 (AMD). PL 2019, c. 373,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§14225. Special mobile establishment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§14225. Special mobile establishment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§14225. SPECIAL MOBILE ESTABLISHMENT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