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15110</w:t>
        <w:t xml:space="preserve">.  </w:t>
      </w:r>
      <w:r>
        <w:rPr>
          <w:b/>
        </w:rPr>
        <w:t xml:space="preserve">Welding on boilers and pressure vessels; certificates for welders</w:t>
      </w:r>
    </w:p>
    <w:p>
      <w:pPr>
        <w:jc w:val="both"/>
        <w:spacing w:before="100" w:after="100"/>
        <w:ind w:start="360"/>
        <w:ind w:firstLine="360"/>
      </w:pPr>
      <w:r>
        <w:rPr/>
      </w:r>
      <w:r>
        <w:rPr/>
      </w:r>
      <w:r>
        <w:t xml:space="preserve">A welder may not make welded repairs to any boiler or pressure vessel covered by this chapter, without first receiving authorization from the chief inspector or the authorized inspector employed by the insurance company responsible for the inspection of the boiler or pressure vessel.  The authorization may be in the form of a general agreement between the chief inspector or the appropriate authorized inspector and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director may conduct a welding test facility review.  The welding test facility shall pay the required fee for the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§W21 (AMD). PL 2001, c. 323, §§40,41 (AMD). PL 2013, c. 70,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§15110. WELDING ON BOILERS AND PRESSURE VESSELS;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