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15115</w:t>
        <w:t xml:space="preserve">.  </w:t>
      </w:r>
      <w:r>
        <w:rPr>
          <w:b/>
        </w:rPr>
        <w:t xml:space="preserve">Temporary certificate</w:t>
      </w:r>
    </w:p>
    <w:p>
      <w:pPr>
        <w:jc w:val="both"/>
        <w:spacing w:before="100" w:after="100"/>
        <w:ind w:start="360"/>
        <w:ind w:firstLine="360"/>
      </w:pPr>
      <w:r>
        <w:rPr/>
      </w:r>
      <w:r>
        <w:rPr/>
      </w:r>
      <w:r>
        <w:t xml:space="preserve">If an emergency affecting public safety and welfare exists, the chief inspector may issue a temporary inspection certificate for a period not exceeding 6 months after an inspection certificate has expired.  A temporary inspection certificate may be issued without an internal inspection being made. If the boiler or pressure vessel is insured, the temporary inspection certificate may not be issued until recommended in writing by the authorized inspector of the company insuring the boiler or pressure vessel and by the chief inspector or one of the deputies; or, if the boiler or pressure vessel is not insured, the temporary inspection certificate must be recommended in writing by at least 2 authorized state inspectors.  The provisions as to posting of the inspection certificate apply to the temporary inspection certificate.</w:t>
      </w:r>
      <w:r>
        <w:t xml:space="preserve">  </w:t>
      </w:r>
      <w:r xmlns:wp="http://schemas.openxmlformats.org/drawingml/2010/wordprocessingDrawing" xmlns:w15="http://schemas.microsoft.com/office/word/2012/wordml">
        <w:rPr>
          <w:rFonts w:ascii="Arial" w:hAnsi="Arial" w:cs="Arial"/>
          <w:sz w:val="22"/>
          <w:szCs w:val="22"/>
        </w:rPr>
        <w:t xml:space="preserve">[PL 2013, c. 70, Pt. C,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§W25 (AMD). PL 2013, c. 70, Pt. C,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§15115. Temporary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§15115. Temporary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§15115. TEMPORARY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