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18122</w:t>
        <w:t xml:space="preserve">.  </w:t>
      </w:r>
      <w:r>
        <w:rPr>
          <w:b/>
        </w:rPr>
        <w:t xml:space="preserve">Meetings; chair</w:t>
      </w:r>
    </w:p>
    <w:p>
      <w:pPr>
        <w:jc w:val="both"/>
        <w:spacing w:before="100" w:after="100"/>
        <w:ind w:start="360"/>
        <w:ind w:firstLine="360"/>
      </w:pPr>
      <w:r>
        <w:rPr/>
      </w:r>
      <w:r>
        <w:rPr/>
      </w:r>
      <w:r>
        <w:t xml:space="preserve">The board shall meet at least once a year to conduct its business and to elect a chair.  Additional meetings are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2013, c. 246, Pt. B,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§18122. Meetings; chair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§18122. Meetings; chair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§18122. MEETINGS; CHAIR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