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3</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subchapter in amounts that are reasonable and necessary for their respective purposes, except that the fee for any one purpose may not exceed $350 bienni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43.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3.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43.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