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§18379. SEDATION AND GENERAL ANESTHESIA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