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18507</w:t>
        <w:t xml:space="preserve">.  </w:t>
      </w:r>
      <w:r>
        <w:rPr>
          <w:b/>
        </w:rPr>
        <w:t xml:space="preserve">Fees for expedited licensure</w:t>
      </w:r>
    </w:p>
    <w:p>
      <w:pPr>
        <w:jc w:val="both"/>
        <w:spacing w:before="100" w:after="0"/>
        <w:ind w:start="360"/>
        <w:ind w:firstLine="360"/>
      </w:pPr>
      <w:r>
        <w:rPr>
          <w:b/>
        </w:rPr>
        <w:t>1</w:t>
        <w:t xml:space="preserve">.  </w:t>
      </w:r>
      <w:r>
        <w:rPr>
          <w:b/>
        </w:rPr>
        <w:t xml:space="preserve">Fees.</w:t>
        <w:t xml:space="preserve"> </w:t>
      </w:r>
      <w:r>
        <w:t xml:space="preserve"> </w:t>
      </w:r>
      <w:r>
        <w:t xml:space="preserve">A member state issuing an expedited license authorizing the practice of medicine in that state may impose a fee for a license issued or renewed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is authorized to adopt rules pursuant to </w:t>
      </w:r>
      <w:r>
        <w:t>section 18516</w:t>
      </w:r>
      <w:r>
        <w:t xml:space="preserve"> regarding fees for expedited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§18507. Fees for expedited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§18507. Fees for expedited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§18507. FEES FOR EXPEDITED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