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18520</w:t>
        <w:t xml:space="preserve">.  </w:t>
      </w:r>
      <w:r>
        <w:rPr>
          <w:b/>
        </w:rPr>
        <w:t xml:space="preserve">Dispute resolution</w:t>
      </w:r>
    </w:p>
    <w:p>
      <w:pPr>
        <w:jc w:val="both"/>
        <w:spacing w:before="100" w:after="0"/>
        <w:ind w:start="360"/>
        <w:ind w:firstLine="360"/>
      </w:pPr>
      <w:r>
        <w:rPr>
          <w:b/>
        </w:rPr>
        <w:t>1</w:t>
        <w:t xml:space="preserve">.  </w:t>
      </w:r>
      <w:r>
        <w:rPr>
          <w:b/>
        </w:rPr>
        <w:t xml:space="preserve">Resolution.</w:t>
        <w:t xml:space="preserve"> </w:t>
      </w:r>
      <w:r>
        <w:t xml:space="preserve"> </w:t>
      </w:r>
      <w:r>
        <w:t xml:space="preserve">The interstate commission shall attempt, upon the request of a member state, to resolve disputes that are subject to the compact and that arise among member states or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shall adopt rules pursuant to </w:t>
      </w:r>
      <w:r>
        <w:t>section 18516</w:t>
      </w:r>
      <w:r>
        <w:t xml:space="preserve"> providing for both mediation and binding dispute resolution,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§18520.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§18520.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§18520.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