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18559</w:t>
        <w:t xml:space="preserve">.  </w:t>
      </w:r>
      <w:r>
        <w:rPr>
          <w:b/>
        </w:rPr>
        <w:t xml:space="preserve">Adverse actions</w:t>
      </w:r>
    </w:p>
    <w:p>
      <w:pPr>
        <w:jc w:val="both"/>
        <w:spacing w:before="100" w:after="10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licensed professional counselor's privilege to practice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pPr>
      <w:r>
        <w:rPr/>
      </w:r>
      <w:r>
        <w:rPr/>
      </w:r>
      <w:r>
        <w:t xml:space="preserve">Only the home state has the power to take adverse action against a licensed professional counselor's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The home state shall complete any pending investigations of a licensed professional counselor who changes the primary state of residence during the course of the investigations.  The home state also has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the affected licensed professional counselor the costs of investigations and dispositions of cases resulting from any adverse action taken against that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the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professional counseling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the home state against the license of a licensed professional counselor, the licensed professional counselor's privilege to practice in all other member states must be deactivated until all encumbrances have been removed from the state license.  All home state disciplinary orders that impose adverse action against the license of a licensed professional counselor must include a statement that the licensed professional counselor's privilege to practice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§18559.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§18559.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§18559.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