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§18560. ESTABLISHMENT OF COUNSELING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