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§544 (RPR). PL 1983, c. 413, §9 (RPR). PL 1987, c. 395, §A114 (AMD). PL 1993, c. 389, §10 (AMD). PL 1999, c. 547, §B78 (AMD). PL 1999, c. 547, §B80 (AFF). PL 2007, c. 402, Pt. F,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§218.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