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Examinations</w:t>
      </w:r>
    </w:p>
    <w:p>
      <w:pPr>
        <w:jc w:val="both"/>
        <w:spacing w:before="100" w:after="100"/>
        <w:ind w:start="360"/>
        <w:ind w:firstLine="360"/>
      </w:pPr>
      <w:r>
        <w:rPr/>
      </w:r>
      <w:r>
        <w:rPr/>
      </w:r>
      <w:r>
        <w:t xml:space="preserve">Examinations must consist of such technical and professional subjects and oral questioning as the board may from time to time prescribe.  The rules for the manner in which examinations are conducted and the content of the examination must be adopted in accordance with the Maine Administrative Procedure Act, </w:t>
      </w:r>
      <w:r>
        <w:t>Title 5, section 8051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2007, c. 402, Pt. F,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§§545,546 (AMD). PL 1987, c. 395, §A117 (AMD). PL 1993, c. 389, §13 (AMD). PL 2007, c. 402, Pt. F,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§221.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