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2007, c. 402, Pt. L, §7 (AMD). PL 2019, c. 287,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