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3118</w:t>
        <w:t xml:space="preserve">.  </w:t>
      </w:r>
      <w:r>
        <w:rPr>
          <w:b/>
        </w:rPr>
        <w:t xml:space="preserve">Unlicensed practice</w:t>
      </w:r>
    </w:p>
    <w:p>
      <w:pPr>
        <w:jc w:val="both"/>
        <w:spacing w:before="100" w:after="100"/>
        <w:ind w:start="360"/>
        <w:ind w:firstLine="360"/>
      </w:pPr>
      <w:r>
        <w:rPr/>
      </w:r>
      <w:r>
        <w:rPr/>
      </w:r>
      <w:r>
        <w:t xml:space="preserve">Any person who violates </w:t>
      </w:r>
      <w:r>
        <w:t>section 3113‑A</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N, §10 (NEW).]</w:t>
      </w:r>
    </w:p>
    <w:p>
      <w:pPr>
        <w:jc w:val="both"/>
        <w:spacing w:before="100" w:after="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207, c. 402, Pt. N, §10 (RP).]</w:t>
      </w:r>
    </w:p>
    <w:p>
      <w:pPr>
        <w:jc w:val="both"/>
        <w:spacing w:before="100" w:after="0"/>
        <w:ind w:start="360"/>
        <w:ind w:firstLine="360"/>
      </w:pPr>
      <w:r>
        <w:rPr>
          <w:b/>
        </w:rPr>
        <w:t>2</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§139 (NEW). PL 1999, c. 547, §B78 (AMD). PL 1999, c. 547, §B80 (AFF). PL 2007, c. 402, Pt. N,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§3118.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§3118.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§3118.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