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Q,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Board of Examiners of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 (NEW).]</w:t>
      </w:r>
    </w:p>
    <w:p>
      <w:pPr>
        <w:jc w:val="both"/>
        <w:spacing w:before="100" w:after="0"/>
        <w:ind w:start="360"/>
        <w:ind w:firstLine="360"/>
      </w:pPr>
      <w:r>
        <w:rPr>
          <w:b/>
        </w:rPr>
        <w:t>2</w:t>
        <w:t xml:space="preserve">.  </w:t>
      </w:r>
      <w:r>
        <w:rPr>
          <w:b/>
        </w:rPr>
        <w:t xml:space="preserve">Mental illness.</w:t>
        <w:t xml:space="preserve"> </w:t>
      </w:r>
      <w:r>
        <w:t xml:space="preserve"> </w:t>
      </w:r>
      <w:r>
        <w:t xml:space="preserve">"Mental illness" means a clinically significant behavioral or psychological syndrome or pattern that occurs in an individual and that is typically associated with either a painful symptom or impairment in one or more important areas of functioning.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§A56 (NEW). PL 2007, c. 402, Pt. Q,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