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4161</w:t>
        <w:t xml:space="preserve">.  </w:t>
      </w:r>
      <w:r>
        <w:rPr>
          <w:b/>
        </w:rPr>
        <w:t xml:space="preserve">Short title</w:t>
      </w:r>
    </w:p>
    <w:p>
      <w:pPr>
        <w:jc w:val="both"/>
        <w:spacing w:before="100" w:after="100"/>
        <w:ind w:start="360"/>
        <w:ind w:firstLine="360"/>
      </w:pPr>
      <w:r>
        <w:rPr/>
      </w:r>
      <w:r>
        <w:rPr/>
      </w:r>
      <w:r>
        <w:t xml:space="preserve">This chapter shall be known as the "Maine Sardine Law."</w:t>
      </w:r>
      <w:r>
        <w:t xml:space="preserve">  </w:t>
      </w:r>
      <w:r xmlns:wp="http://schemas.openxmlformats.org/drawingml/2010/wordprocessingDrawing" xmlns:w15="http://schemas.microsoft.com/office/word/2012/wordml">
        <w:rPr>
          <w:rFonts w:ascii="Arial" w:hAnsi="Arial" w:cs="Arial"/>
          <w:sz w:val="22"/>
          <w:szCs w:val="22"/>
        </w:rPr>
        <w:t xml:space="preserve">[PL 1965, c. 332,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332,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§4161.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§4161.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