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Fee</w:t>
      </w:r>
    </w:p>
    <w:p>
      <w:pPr>
        <w:jc w:val="both"/>
        <w:spacing w:before="100" w:after="100"/>
        <w:ind w:start="360"/>
        <w:ind w:firstLine="360"/>
      </w:pPr>
      <w:r>
        <w:rPr/>
      </w:r>
      <w:r>
        <w:rPr/>
      </w:r>
      <w:r>
        <w:t xml:space="preserve">The fee for a license under this chapter may not exceed $150.  The fee required by this section includes the cost of a biennial inspection of the micropigmentation facility by the department.  However, the department may inspect the facility at any time.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2009, c. 589, §12 (AMD). PL 2021, c. 125,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§4314.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§4314.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