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4866</w:t>
        <w:t xml:space="preserve">.  </w:t>
      </w:r>
      <w:r>
        <w:rPr>
          <w:b/>
        </w:rPr>
        <w:t xml:space="preserve">Duties of licensed veterinary technicians and veterinary assistants</w:t>
      </w:r>
    </w:p>
    <w:p>
      <w:pPr>
        <w:jc w:val="both"/>
        <w:spacing w:before="100" w:after="100"/>
        <w:ind w:start="360"/>
        <w:ind w:firstLine="360"/>
      </w:pPr>
      <w:r>
        <w:rPr/>
      </w:r>
      <w:r>
        <w:rPr/>
      </w:r>
      <w:r>
        <w:t xml:space="preserve">A veterinary assistant may, under the direct supervision of a licensed veterinarian or a  licensed veterinary technician, perform duties of an animal health care nature excluding diagnosing, making prognoses, performing surgery or prescribing  treatment.</w:t>
      </w:r>
      <w:r>
        <w:t xml:space="preserve">  </w:t>
      </w:r>
      <w:r xmlns:wp="http://schemas.openxmlformats.org/drawingml/2010/wordprocessingDrawing" xmlns:w15="http://schemas.microsoft.com/office/word/2012/wordml">
        <w:rPr>
          <w:rFonts w:ascii="Arial" w:hAnsi="Arial" w:cs="Arial"/>
          <w:sz w:val="22"/>
          <w:szCs w:val="22"/>
        </w:rPr>
        <w:t xml:space="preserve">[PL 2015, c. 209, §18 (AMD).]</w:t>
      </w:r>
    </w:p>
    <w:p>
      <w:pPr>
        <w:jc w:val="both"/>
        <w:spacing w:before="100" w:after="100"/>
        <w:ind w:start="360"/>
        <w:ind w:firstLine="360"/>
      </w:pPr>
      <w:r>
        <w:rPr/>
      </w:r>
      <w:r>
        <w:rPr/>
      </w:r>
      <w:r>
        <w:t xml:space="preserve">A licensed veterinary technician in the State may engage in the practice of veterinary technology on the basis of written or oral instruction of a veterinarian.</w:t>
      </w:r>
      <w:r>
        <w:t xml:space="preserve">  </w:t>
      </w:r>
      <w:r xmlns:wp="http://schemas.openxmlformats.org/drawingml/2010/wordprocessingDrawing" xmlns:w15="http://schemas.microsoft.com/office/word/2012/wordml">
        <w:rPr>
          <w:rFonts w:ascii="Arial" w:hAnsi="Arial" w:cs="Arial"/>
          <w:sz w:val="22"/>
          <w:szCs w:val="22"/>
        </w:rPr>
        <w:t xml:space="preserve">[PL 2015, c. 209, §18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477, §4 (NEW). PL 1993, c. 404, §A13 (AMD). PL 1997, c. 246, §§25,26 (AMD). PL 2015, c. 209, §18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§4866. Duties of licensed veterinary technicians and veterinary assistants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§4866. Duties of licensed veterinary technicians and veterinary assistants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§4866. DUTIES OF LICENSED VETERINARY TECHNICIANS AND VETERINARY ASSISTANTS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