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Objective</w:t>
      </w:r>
    </w:p>
    <w:p>
      <w:pPr>
        <w:jc w:val="both"/>
        <w:spacing w:before="100" w:after="100"/>
        <w:ind w:start="360"/>
        <w:ind w:firstLine="360"/>
      </w:pPr>
      <w:r>
        <w:rPr/>
      </w:r>
      <w:r>
        <w:rPr/>
      </w:r>
      <w:r>
        <w:t xml:space="preserve">The objective of this legislation is to establish a State Board of Alcohol and Drug Counselors that establishes and ensures high professional standards among alcohol and drug counselors and that encourages and promotes quality treatment and rehabilitation services for substance users.</w:t>
      </w:r>
      <w:r>
        <w:t xml:space="preserve">  </w:t>
      </w:r>
      <w:r xmlns:wp="http://schemas.openxmlformats.org/drawingml/2010/wordprocessingDrawing" xmlns:w15="http://schemas.microsoft.com/office/word/2012/wordml">
        <w:rPr>
          <w:rFonts w:ascii="Arial" w:hAnsi="Arial" w:cs="Arial"/>
          <w:sz w:val="22"/>
          <w:szCs w:val="22"/>
        </w:rPr>
        <w:t xml:space="preserve">[PL 2017, c. 407,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§A193 (AMD). PL 1995, c. 394, §3 (AMD). PL 2017, c. 407,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