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Duty to warn and protect</w:t>
      </w:r>
    </w:p>
    <w:p>
      <w:pPr>
        <w:jc w:val="both"/>
        <w:spacing w:before="100" w:after="100"/>
        <w:ind w:start="360"/>
      </w:pPr>
      <w:r>
        <w:rPr>
          <w:b/>
        </w:rPr>
        <w:t>(REALLOCATED FROM TITLE 32, SECTION 7006)</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client's violent behavior if the licensee has a reasonable belief based on communications with the client that the client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w:t>
      </w:r>
      <w:r>
        <w:t>subsection 1</w:t>
      </w:r>
      <w:r>
        <w:t xml:space="preserve"> may discharge that duty if the licensee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§7007.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§7007.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