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1987, c. 395, §B20 (AMD). PL 2007, c. 402, Pt. V,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