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1979, c. 541, §§B41, B42 (AMD). PL 2001, c. 386, §7 (AMD). RR 2009, c. 2, §90 (COR).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