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9413</w:t>
        <w:t xml:space="preserve">.  </w:t>
      </w:r>
      <w:r>
        <w:rPr>
          <w:b/>
        </w:rPr>
        <w:t xml:space="preserve">Change in the status of license</w:t>
      </w:r>
    </w:p>
    <w:p>
      <w:pPr>
        <w:jc w:val="both"/>
        <w:spacing w:before="100" w:after="100"/>
        <w:ind w:start="360"/>
        <w:ind w:firstLine="360"/>
      </w:pPr>
      <w:r>
        <w:rPr/>
      </w:r>
      <w:r>
        <w:rPr/>
      </w:r>
      <w:r>
        <w:t xml:space="preserve">The licensee shall notify the commissioner within 30 days of any change in his qualifying agent, officers or directors or material change in the information previously furnished or required to be furnished to the commissioner or any occurrence which could reasonably be expected to affect the licensee's right to a license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§9413. Change in the status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§9413. Change in the status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§9413. CHANGE IN THE STATUS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