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9416</w:t>
        <w:t xml:space="preserve">.  </w:t>
      </w:r>
      <w:r>
        <w:rPr>
          <w:b/>
        </w:rPr>
        <w:t xml:space="preserve">Firearms</w:t>
      </w:r>
    </w:p>
    <w:p>
      <w:pPr>
        <w:jc w:val="both"/>
        <w:spacing w:before="100" w:after="100"/>
        <w:ind w:start="360"/>
        <w:ind w:firstLine="360"/>
      </w:pPr>
      <w:r>
        <w:rPr/>
      </w:r>
      <w:r>
        <w:rPr/>
      </w:r>
      <w:r>
        <w:t xml:space="preserve">A person who acts as a security guard may, while he is in the performance of his duties in that capacity, carry a loaded weapon in a motor vehicle which is being used to provide armored car service or which is otherwise transporting things of value, provided that any weapon carried is not concealed.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§9416.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§9416.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§9416.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