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Authorize to participate</w:t>
      </w:r>
    </w:p>
    <w:p>
      <w:pPr>
        <w:jc w:val="both"/>
        <w:spacing w:before="100" w:after="100"/>
        <w:ind w:start="360"/>
        <w:ind w:firstLine="360"/>
      </w:pPr>
      <w:r>
        <w:rPr/>
      </w:r>
      <w:r>
        <w:rPr/>
      </w:r>
      <w:r>
        <w:t xml:space="preserve">Notwithstanding </w:t>
      </w:r>
      <w:r>
        <w:t>section 91‑B</w:t>
      </w:r>
      <w:r>
        <w:t xml:space="preserve">, Maine Emergency Medical Services is authorized to participate in and share information with the National Emergency Medical Services Information System.</w:t>
      </w:r>
      <w:r>
        <w:t xml:space="preserve">  </w:t>
      </w:r>
      <w:r xmlns:wp="http://schemas.openxmlformats.org/drawingml/2010/wordprocessingDrawing" xmlns:w15="http://schemas.microsoft.com/office/word/2012/wordml">
        <w:rPr>
          <w:rFonts w:ascii="Arial" w:hAnsi="Arial" w:cs="Arial"/>
          <w:sz w:val="22"/>
          <w:szCs w:val="22"/>
        </w:rPr>
        <w:t xml:space="preserve">[PL 2011, c. 271,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§29 (NEW). PL 2011, c. 271,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Authorize to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Authorize to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 AUTHORIZE TO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