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X, §6 (NEW).]</w:t>
      </w:r>
    </w:p>
    <w:p>
      <w:pPr>
        <w:jc w:val="both"/>
        <w:spacing w:before="100" w:after="0"/>
        <w:ind w:start="360"/>
        <w:ind w:firstLine="360"/>
      </w:pPr>
      <w:r>
        <w:rPr>
          <w:b/>
        </w:rPr>
        <w:t>1</w:t>
        <w:t xml:space="preserve">.  </w:t>
      </w:r>
      <w:r>
        <w:rPr>
          <w:b/>
        </w:rPr>
        <w:t xml:space="preserve">Substance use.</w:t>
        <w:t xml:space="preserve"> </w:t>
      </w:r>
      <w:r>
        <w:t xml:space="preserve"> </w:t>
      </w:r>
      <w:r>
        <w:t xml:space="preserve">Habitual substance use or use of drugs listed as controlled substances by the federal Drug Enforcement Administration that has resulted or is foreseeably likely to result in the licensee performing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§144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 PL 2017, c. 407,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