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9914</w:t>
        <w:t xml:space="preserve">.  </w:t>
      </w:r>
      <w:r>
        <w:rPr>
          <w:b/>
        </w:rPr>
        <w:t xml:space="preserve">Temporary license</w:t>
      </w:r>
    </w:p>
    <w:p>
      <w:pPr>
        <w:jc w:val="both"/>
        <w:spacing w:before="100" w:after="100"/>
        <w:ind w:start="360"/>
        <w:ind w:firstLine="360"/>
      </w:pPr>
      <w:r>
        <w:rPr/>
      </w:r>
      <w:r>
        <w:rPr/>
      </w:r>
      <w:r>
        <w:t xml:space="preserve">The board shall adopt rules establishing requirements for a temporary license within the scope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§9914.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§9914.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§9914.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