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STATUTE OF FRAUDS</w:t>
      </w:r>
    </w:p>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