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§1601-106. Applicability of local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§1601-106. Applicability of local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§1601-106. APPLICABILITY OF LOCAL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