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1601-107</w:t>
        <w:t xml:space="preserve">.  </w:t>
      </w:r>
      <w:r>
        <w:rPr>
          <w:b/>
        </w:rPr>
        <w:t xml:space="preserve">Eminent Domain</w:t>
      </w:r>
    </w:p>
    <w:p>
      <w:pPr>
        <w:jc w:val="both"/>
        <w:spacing w:before="100" w:after="100"/>
        <w:ind w:start="360"/>
        <w:ind w:firstLine="360"/>
      </w:pPr>
      <w:r>
        <w:rPr/>
      </w:r>
      <w:r>
        <w:rPr/>
      </w:r>
      <w:r>
        <w:t xml:space="preserve">(a)  If a unit is acquired by eminent domain, or if part of a unit is acquired by eminent domain leaving the unit owner with a remnant which may not practically or lawfully be used for any purpose permitted by the declaration, the award must compensate the unit owner for his unit and its interest in the common elements,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provided in subsection (a), if part of a unit is acquired by eminent domain, the award must compensate the unit owner for the reduction in value of the unit and its interest in the common elements whether or not any common elements are acquired.  Upon acquisition:  (1)  That unit's allocated interests are reduced in proportion to the reduction in the size of the unit, or on any other basis specified in the declaration; and  (2) the portion of the allocated interest, votes and common expense liability divested from the partially acquired unit are automatically reallocated to that unit and the remaining units in proportion to the respective allocated interests of those units before the taking, with  the partially acquired unit participating in the reallocation on the basis of its reduced allocated interests.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court decree shall be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anything to the contrary in this section, lien holders on any unit, common element or limited common element, shall have a lien on any such awards in order of priority of their respective liens.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§1601-107.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§1601-107.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§1601-107.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