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§1602-106. Leasehold condominiums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§1602-106. Leasehold condominiums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§1602-106. LEASEHOLD CONDOMINIUMS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