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10. Exercise of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0. Exercise of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0. EXERCISE OF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