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§1603-115. ASSESSMENTS FOR COMMON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