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496, §6 (AMD). PL 2019, c. 498, §21 (RP). PL 2023, c. 405,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