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651-B</w:t>
        <w:t xml:space="preserve">.  </w:t>
      </w:r>
      <w:r>
        <w:rPr>
          <w:b/>
        </w:rPr>
        <w:t xml:space="preserve">Privacy protection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"Personal information" means an individual's first name or first initial and last name in combination with any one or more of the data elements described in this paragraph:</w:t>
      </w:r>
    </w:p>
    <w:p>
      <w:pPr>
        <w:jc w:val="both"/>
        <w:spacing w:before="100" w:after="0"/>
        <w:ind w:start="1080"/>
      </w:pPr>
      <w:r>
        <w:rPr/>
        <w:t>(</w:t>
        <w:t>1</w:t>
        <w:t xml:space="preserve">)  </w:t>
      </w:r>
      <w:r>
        <w:rPr/>
      </w:r>
      <w:r>
        <w:t xml:space="preserve">Social security number;</w:t>
      </w:r>
    </w:p>
    <w:p>
      <w:pPr>
        <w:jc w:val="both"/>
        <w:spacing w:before="100" w:after="0"/>
        <w:ind w:start="1080"/>
      </w:pPr>
      <w:r>
        <w:rPr/>
        <w:t>(</w:t>
        <w:t>2</w:t>
        <w:t xml:space="preserve">)  </w:t>
      </w:r>
      <w:r>
        <w:rPr/>
      </w:r>
      <w:r>
        <w:t xml:space="preserve">Driver's license number or state identification card number;</w:t>
      </w:r>
    </w:p>
    <w:p>
      <w:pPr>
        <w:jc w:val="both"/>
        <w:spacing w:before="100" w:after="0"/>
        <w:ind w:start="1080"/>
      </w:pPr>
      <w:r>
        <w:rPr/>
        <w:t>(</w:t>
        <w:t>3</w:t>
        <w:t xml:space="preserve">)  </w:t>
      </w:r>
      <w:r>
        <w:rPr/>
      </w:r>
      <w:r>
        <w:t xml:space="preserve">Account number, credit card number or debit card number if circumstances exist such that the number could be used without additional identifying information, access codes or passwords;</w:t>
      </w:r>
    </w:p>
    <w:p>
      <w:pPr>
        <w:jc w:val="both"/>
        <w:spacing w:before="100" w:after="0"/>
        <w:ind w:start="1080"/>
      </w:pPr>
      <w:r>
        <w:rPr/>
        <w:t>(</w:t>
        <w:t>4</w:t>
        <w:t xml:space="preserve">)  </w:t>
      </w:r>
      <w:r>
        <w:rPr/>
      </w:r>
      <w:r>
        <w:t xml:space="preserve">Account passwords or personal identification numbers or other access codes; or</w:t>
      </w:r>
    </w:p>
    <w:p>
      <w:pPr>
        <w:jc w:val="both"/>
        <w:spacing w:before="100" w:after="0"/>
        <w:ind w:start="1080"/>
      </w:pPr>
      <w:r>
        <w:rPr/>
        <w:t>(</w:t>
        <w:t>5</w:t>
        <w:t xml:space="preserve">)  </w:t>
      </w:r>
      <w:r>
        <w:rPr/>
      </w:r>
      <w:r>
        <w:t xml:space="preserve">Any of the data elements contained in subparagraphs (1) to (4) when not in connection with the individual's first name, or first initial, and last name if the information included would be sufficient to permit a person to fraudulently assume or attempt to assume the identity of the person whose information was included.</w:t>
      </w:r>
      <w:r>
        <w:t xml:space="preserve">  </w:t>
      </w:r>
      <w:r xmlns:wp="http://schemas.openxmlformats.org/drawingml/2010/wordprocessingDrawing" xmlns:w15="http://schemas.microsoft.com/office/word/2012/wordml">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w:pPr>
        <w:jc w:val="both"/>
        <w:spacing w:before="100" w:after="0"/>
        <w:ind w:start="360"/>
        <w:ind w:firstLine="360"/>
      </w:pPr>
      <w:r>
        <w:rPr>
          <w:b/>
        </w:rPr>
        <w:t>2</w:t>
        <w:t xml:space="preserve">.  </w:t>
      </w:r>
      <w:r>
        <w:rPr>
          <w:b/>
        </w:rPr>
        <w:t xml:space="preserve">Personal information on registry's website.</w:t>
        <w:t xml:space="preserve"> </w:t>
      </w:r>
      <w:r>
        <w:t xml:space="preserve"> </w:t>
      </w:r>
      <w:r>
        <w:t xml:space="preserve">If a document that includes an individual's personal information is recorded with a register of deeds and is available on the registry's publicly accessible website, the individual may request that the register of deeds redact that personal information from the record available on the website. The register shall establish a procedure by which individuals make such requests at no fee to the requesting individual. The register shall comply with an individual's request to redact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§651-B. Privacy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§651-B. PRIVACY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