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663</w:t>
        <w:t xml:space="preserve">.  </w:t>
      </w:r>
      <w:r>
        <w:rPr>
          <w:b/>
        </w:rPr>
        <w:t xml:space="preserve">Copies of transfers of lands in unorganized territory sent to State Tax Assessor</w:t>
      </w:r>
    </w:p>
    <w:p>
      <w:pPr>
        <w:jc w:val="both"/>
        <w:spacing w:before="100" w:after="100"/>
        <w:ind w:start="360"/>
        <w:ind w:firstLine="360"/>
      </w:pPr>
      <w:r>
        <w:rPr/>
      </w:r>
      <w:r>
        <w:rPr/>
      </w:r>
      <w:r>
        <w:t xml:space="preserve">In each county containing lands in unorganized territory, so called, the register of deeds shall transmit to the State Tax Assessor certified copies of the record of all transfers of lands in unorganized territory made after the 20th day of March, 1907, within 10 days after such record is made. Such copies shall be placed on file and retained for future reference by the State Tax Assessor.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§663. Copies of transfers of lands in unorganized territory sent to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§663. Copies of transfers of lands in unorganized territory sent to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§663. COPIES OF TRANSFERS OF LANDS IN UNORGANIZED TERRITORY SENT TO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