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11286</w:t>
        <w:t xml:space="preserve">.  </w:t>
      </w:r>
      <w:r>
        <w:rPr>
          <w:b/>
        </w:rPr>
        <w:t xml:space="preserve">Duty of person traveling beyond the jurisdiction of the United States</w:t>
      </w:r>
    </w:p>
    <w:p>
      <w:pPr>
        <w:jc w:val="both"/>
        <w:spacing w:before="100" w:after="100"/>
        <w:ind w:start="360"/>
        <w:ind w:firstLine="360"/>
      </w:pPr>
      <w:r>
        <w:rPr/>
      </w:r>
      <w:r>
        <w:rPr/>
      </w:r>
      <w:r>
        <w:t xml:space="preserve">An offender shall notify the bureau at least 21 days prior to travel beyond the jurisdiction of the United States. The offender shall provide the bureau with information about the date of departure from and return to the United States and the destination beyond the jurisdiction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§11286. Duty of person traveling beyond the jurisdiction of the United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§11286. Duty of person traveling beyond the jurisdiction of the United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§11286. DUTY OF PERSON TRAVELING BEYOND THE JURISDICTION OF THE UNITED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