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§1210-E. COUNTY JAIL OPERATIONS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