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Conditions of imprisonment</w:t>
      </w:r>
    </w:p>
    <w:p>
      <w:pPr>
        <w:jc w:val="both"/>
        <w:spacing w:before="100" w:after="100"/>
        <w:ind w:start="360"/>
        <w:ind w:firstLine="360"/>
      </w:pPr>
      <w:r>
        <w:rPr/>
      </w:r>
      <w:r>
        <w:rPr/>
      </w:r>
      <w:r>
        <w:t xml:space="preserve">Prisoners in the prison shall work at tasks normal to the maintenance, service, industrial, agricultural and other activities of the prison.</w:t>
      </w:r>
      <w:r>
        <w:t xml:space="preserve">  </w:t>
      </w:r>
      <w:r xmlns:wp="http://schemas.openxmlformats.org/drawingml/2010/wordprocessingDrawing" xmlns:w15="http://schemas.microsoft.com/office/word/2012/wordml">
        <w:rPr>
          <w:rFonts w:ascii="Arial" w:hAnsi="Arial" w:cs="Arial"/>
          <w:sz w:val="22"/>
          <w:szCs w:val="22"/>
        </w:rPr>
        <w:t xml:space="preserve">[PL 1999, c. 583,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§3264. Conditions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Conditions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§3264. CONDITIONS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