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9424</w:t>
        <w:t xml:space="preserve">.  </w:t>
      </w:r>
      <w:r>
        <w:rPr>
          <w:b/>
        </w:rPr>
        <w:t xml:space="preserve">Limitations</w:t>
      </w:r>
    </w:p>
    <w:p>
      <w:pPr>
        <w:jc w:val="both"/>
        <w:spacing w:before="100" w:after="100"/>
        <w:ind w:start="360"/>
        <w:ind w:firstLine="360"/>
      </w:pPr>
      <w:r>
        <w:rPr/>
      </w:r>
      <w:r>
        <w:rPr/>
      </w:r>
      <w:r>
        <w:t xml:space="preserve">The commissioner shall carry out the provisions of this compact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Juveniles excluded.</w:t>
        <w:t xml:space="preserve"> </w:t>
      </w:r>
      <w:r>
        <w:t xml:space="preserve"> </w:t>
      </w:r>
      <w:r>
        <w:t xml:space="preserve">For purposes of this compact, no juvenile may be considered an inmate, as defined in </w:t>
      </w:r>
      <w:r>
        <w:t>section 9402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Contracts.</w:t>
        <w:t xml:space="preserve"> </w:t>
      </w:r>
      <w:r>
        <w:t xml:space="preserve"> </w:t>
      </w:r>
      <w:r>
        <w:t xml:space="preserve">Any contracts made with one of the other party states for the confinement of inmates in Maine may provide for cash payments for the costs of the confinement whenever the total days for inmates placed in Maine by that state exceeds by 200 the number of days for inmates placed by Maine in that state.  Otherwise, all contracts shall provide for an accrual of days earned by the respective states rather than cash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Inmates.</w:t>
        <w:t xml:space="preserve"> </w:t>
      </w:r>
      <w:r>
        <w:t xml:space="preserve"> </w:t>
      </w:r>
      <w:r>
        <w:t xml:space="preserve">The commissioner may accept an inmate for confinement in Maine if, in the opinion of the commissioner, the inmate has demonstrated ties to this State which would justify the confinement, or the inmate's confinement in this State is in the best interests of the inmate or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Transportation.</w:t>
        <w:t xml:space="preserve"> </w:t>
      </w:r>
      <w:r>
        <w:t xml:space="preserve"> </w:t>
      </w:r>
      <w:r>
        <w:t xml:space="preserve">The commissioner may permit any inmate who may be confined in another state under the provisions of the compact to pay the costs of transportation to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Facilities.</w:t>
        <w:t xml:space="preserve"> </w:t>
      </w:r>
      <w:r>
        <w:t xml:space="preserve"> </w:t>
      </w:r>
      <w:r>
        <w:t xml:space="preserve">The commissioner may not accept any inmate under the provisions of the compact when the confinement of that inmate would cause immediately, or in the near future would be likely to cause, a need for an increase in correctional facilities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commissioner shall annually, prior to February 1st, present a report to the joint standing committee of the Legislature having jurisdiction over health and institutional services describing any actions taken under the provisions of the compact during the previous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§9424.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§9424.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