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9887</w:t>
        <w:t xml:space="preserve">.  </w:t>
      </w:r>
      <w:r>
        <w:rPr>
          <w:b/>
        </w:rPr>
        <w:t xml:space="preserve">Supervision fee</w:t>
      </w:r>
    </w:p>
    <w:p>
      <w:pPr>
        <w:jc w:val="both"/>
        <w:spacing w:before="100" w:after="100"/>
        <w:ind w:start="360"/>
        <w:ind w:firstLine="360"/>
      </w:pPr>
      <w:r>
        <w:rPr/>
      </w:r>
      <w:r>
        <w:rPr/>
      </w:r>
      <w:r>
        <w:t xml:space="preserve">The department may impose on a person accepted for supervision under this compact a supervision fee of between $10 and $50 per month, as determined by the department, for the term of supervision by the department.  In determining the amount of the fee, the department shall take into account the financial resources of the person and the nature of the burden the payment imposes.  A request for transfer of supervision may not be denied solely because the person is not able to pay the fee.  When a person fails to pay the supervision fee, the department may request the person's return to the sending state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the supervision of persons accepted for transfer, including, but not limited to, the purchase of materials and equipment for and operation of electronic monitoring and substance testing programs,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§13 (NEW). PL 2011, c. 677,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§9887. Supervision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§9887. Supervision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§9887. SUPERVISION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