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MENTAL HEALTH</w:t>
      </w:r>
    </w:p>
    <w:p>
      <w:pPr>
        <w:jc w:val="center"/>
        <w:ind w:start="360"/>
        <w:spacing w:before="300" w:after="300"/>
      </w:pPr>
      <w:r>
        <w:rPr>
          <w:b/>
        </w:rPr>
        <w:t>SUBCHAPTER</w:t>
        <w:t xml:space="preserve"> </w:t>
        <w:t>1</w:t>
      </w:r>
    </w:p>
    <w:p>
      <w:pPr>
        <w:jc w:val="center"/>
        <w:ind w:start="360"/>
        <w:spacing w:before="300" w:after="300"/>
      </w:pPr>
      <w:r>
        <w:rPr>
          <w:b/>
        </w:rPr>
        <w:t xml:space="preserve">MENTAL HEALTH SERVICES</w:t>
      </w:r>
    </w:p>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jc w:val="center"/>
        <w:ind w:start="360"/>
        <w:spacing w:before="300" w:after="300"/>
      </w:pPr>
      <w:r>
        <w:rPr>
          <w:b/>
        </w:rPr>
        <w:t>SUBCHAPTER</w:t>
        <w:t xml:space="preserve"> </w:t>
        <w:t>2</w:t>
      </w:r>
    </w:p>
    <w:p>
      <w:pPr>
        <w:jc w:val="center"/>
        <w:ind w:start="360"/>
        <w:spacing w:before="300" w:after="300"/>
      </w:pPr>
      <w:r>
        <w:rPr>
          <w:b/>
        </w:rPr>
        <w:t xml:space="preserve">STATE MENTAL HEALTH INSTITUTES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jc w:val="center"/>
        <w:ind w:start="360"/>
        <w:spacing w:before="300" w:after="300"/>
      </w:pPr>
      <w:r>
        <w:rPr>
          <w:b/>
        </w:rPr>
        <w:t>SUBCHAPTER</w:t>
        <w:t xml:space="preserve"> </w:t>
        <w:t>3</w:t>
      </w:r>
    </w:p>
    <w:p>
      <w:pPr>
        <w:jc w:val="center"/>
        <w:ind w:start="360"/>
        <w:spacing w:before="300" w:after="300"/>
      </w:pPr>
      <w:r>
        <w:rPr>
          <w:b/>
        </w:rPr>
        <w:t xml:space="preserve">COMMUNITY MENTAL HEALTH SERVICES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2023, c. 643, Pt. EEEE, §1)</w:t>
      </w:r>
    </w:p>
    <w:p>
      <w:pPr>
        <w:jc w:val="both"/>
        <w:spacing w:before="100" w:after="100"/>
        <w:ind w:start="360"/>
      </w:pPr>
      <w:r>
        <w:rPr>
          <w:b/>
        </w:rPr>
        <w:t>(WHOLE SECTION TEXT EFFECTIVE 4/01/25)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"Crisis receiving center" means a center providing walk-in access to crisis services to individuals experiencing behavioral health, mental health and substance use challenges.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w:pPr>
        <w:jc w:val="both"/>
        <w:spacing w:before="100" w:after="0"/>
        <w:ind w:start="720"/>
      </w:pPr>
      <w:r>
        <w:rPr/>
        <w:t>B</w:t>
        <w:t xml:space="preserve">.  </w:t>
      </w:r>
      <w:r>
        <w:rPr/>
      </w:r>
      <w:r>
        <w:t xml:space="preserve">"Culturally sensitive trauma-informed care" means care that acknowledges, respects and integrates the cultural values, beliefs and practices of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2</w:t>
        <w:t xml:space="preserve">.  </w:t>
      </w:r>
      <w:r>
        <w:rPr>
          <w:b/>
        </w:rPr>
        <w:t xml:space="preserve">Crisis receiving centers.</w:t>
        <w:t xml:space="preserve"> </w:t>
      </w:r>
      <w:r>
        <w:t xml:space="preserve"> </w:t>
      </w:r>
      <w:r>
        <w:t xml:space="preserve">The department shall establish 2 crisis receiving centers to support individuals dealing with behavioral health, mental health or substance use issues.  The receiving centers must be established in Aroostook County and Penobscot County.  The department shall ensure that the crisis receiving centers provide culturally sensitive trauma-informed care.  The department shall develop a plan to expand crisis receiving centers statewide, with at least one crisis receiving center located in each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643, Pt. KKK, §1)</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acuity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0"/>
        <w:ind w:start="360"/>
        <w:ind w:firstLine="360"/>
      </w:pPr>
      <w:r>
        <w:rPr>
          <w:b/>
        </w:rPr>
        <w:t>2</w:t>
        <w:t xml:space="preserve">.  </w:t>
      </w:r>
      <w:r>
        <w:rPr>
          <w:b/>
        </w:rPr>
        <w:t xml:space="preserve">Authority.</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675, §9)</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severity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0"/>
        <w:ind w:start="360"/>
        <w:ind w:firstLine="360"/>
      </w:pPr>
      <w:r>
        <w:rPr>
          <w:b/>
        </w:rPr>
        <w:t>2</w:t>
        <w:t xml:space="preserve">.  </w:t>
      </w:r>
      <w:r>
        <w:rPr>
          <w:b/>
        </w:rPr>
        <w:t xml:space="preserve">Department to develop plan and serve as coordinator.</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100"/>
        <w:ind w:start="360"/>
        <w:ind w:firstLine="360"/>
      </w:pPr>
      <w:r>
        <w:rPr>
          <w:b/>
        </w:rPr>
        <w:t>3</w:t>
        <w:t xml:space="preserve">.  </w:t>
      </w:r>
      <w:r>
        <w:rPr>
          <w:b/>
        </w:rPr>
        <w:t xml:space="preserve">Guidelines.</w:t>
        <w:t xml:space="preserve"> </w:t>
      </w:r>
      <w:r>
        <w:t xml:space="preserve"> </w:t>
      </w:r>
      <w:r>
        <w:t xml:space="preserve">In carrying out its duties under </w:t>
      </w:r>
      <w:r>
        <w:t>subsection 2</w:t>
      </w:r>
      <w:r>
        <w:t xml:space="preserve">, 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 </w:t>
      </w:r>
    </w:p>
    <w:p>
      <w:pPr>
        <w:jc w:val="center"/>
        <w:ind w:start="360"/>
        <w:spacing w:before="300" w:after="300"/>
      </w:pPr>
      <w:r>
        <w:rPr>
          <w:b/>
        </w:rPr>
        <w:t>ARTICLE</w:t>
        <w:t xml:space="preserve"> </w:t>
        <w:t>2</w:t>
      </w:r>
    </w:p>
    <w:p>
      <w:pPr>
        <w:jc w:val="center"/>
        <w:ind w:start="360"/>
        <w:spacing w:before="300" w:after="300"/>
      </w:pPr>
      <w:r>
        <w:rPr>
          <w:b/>
        </w:rPr>
        <w:t xml:space="preserve">CRISIS INTERVENTION PROGRAM</w:t>
      </w:r>
    </w:p>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jc w:val="center"/>
        <w:ind w:start="360"/>
        <w:spacing w:before="300" w:after="300"/>
      </w:pPr>
      <w:r>
        <w:rPr>
          <w:b/>
        </w:rPr>
        <w:t>SUBCHAPTER</w:t>
        <w:t xml:space="preserve"> </w:t>
        <w:t>4</w:t>
      </w:r>
    </w:p>
    <w:p>
      <w:pPr>
        <w:jc w:val="center"/>
        <w:ind w:start="360"/>
        <w:spacing w:before="300" w:after="300"/>
      </w:pPr>
      <w:r>
        <w:rPr>
          <w:b/>
        </w:rPr>
        <w:t xml:space="preserve">HOSPITALIZATION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jc w:val="center"/>
        <w:ind w:start="360"/>
        <w:spacing w:before="300" w:after="300"/>
      </w:pPr>
      <w:r>
        <w:rPr>
          <w:b/>
        </w:rPr>
        <w:t>ARTICLE</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jc w:val="center"/>
        <w:ind w:start="360"/>
        <w:spacing w:before="300" w:after="300"/>
      </w:pPr>
      <w:r>
        <w:rPr>
          <w:b/>
        </w:rPr>
        <w:t>ARTICLE</w:t>
        <w:t xml:space="preserve"> </w:t>
        <w:t>3</w:t>
      </w:r>
    </w:p>
    <w:p>
      <w:pPr>
        <w:jc w:val="center"/>
        <w:ind w:start="360"/>
        <w:spacing w:before="300" w:after="300"/>
      </w:pPr>
      <w:r>
        <w:rPr>
          <w:b/>
        </w:rPr>
        <w:t xml:space="preserve">INVOLUNTARY HOSPITALIZATION</w:t>
      </w:r>
    </w:p>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jc w:val="both"/>
        <w:spacing w:before="100" w:after="100"/>
        <w:ind w:start="1080" w:hanging="720"/>
      </w:pPr>
      <w:r>
        <w:rPr>
          <w:b/>
        </w:rPr>
        <w:t>§</w:t>
        <w:t>3862-A</w:t>
        <w:t xml:space="preserve">.  </w:t>
      </w:r>
      <w:r>
        <w:rPr>
          <w:b/>
        </w:rPr>
        <w:t xml:space="preserve">Extreme risk protection orders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30‑day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§11 (AMD).]</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§11 (AMD).]</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this subsection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 The medical practitioner may rely on information provided by a 3rd party if it reasonably appears that the 3rd party has had recent personal observations of or conversations with the person being assessed.</w:t>
      </w:r>
      <w:r>
        <w:t xml:space="preserve">  </w:t>
      </w:r>
      <w:r xmlns:wp="http://schemas.openxmlformats.org/drawingml/2010/wordprocessingDrawing" xmlns:w15="http://schemas.microsoft.com/office/word/2012/wordml">
        <w:rPr>
          <w:rFonts w:ascii="Arial" w:hAnsi="Arial" w:cs="Arial"/>
          <w:sz w:val="22"/>
          <w:szCs w:val="22"/>
        </w:rPr>
        <w:t xml:space="preserve">[PL 2023, c. 675, §12 (AMD).]</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or, when available and as appropriate, may be performed at an alternative location. The assessment may be facilitated using telehealth technology.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675, §13 (AMD).]</w:t>
      </w:r>
    </w:p>
    <w:p>
      <w:pPr>
        <w:jc w:val="both"/>
        <w:spacing w:before="100" w:after="0"/>
        <w:ind w:start="720"/>
      </w:pPr>
      <w:r>
        <w:rPr/>
        <w:t>C-1</w:t>
        <w:t xml:space="preserve">.  </w:t>
      </w:r>
      <w:r>
        <w:rPr/>
      </w:r>
      <w:r>
        <w:t xml:space="preserve">The assessment required by this subsection must be performed while the person being assessed remains in protective custody, except that the assessment may be performed within 24 hours after the person is released from protective custody if:</w:t>
      </w:r>
    </w:p>
    <w:p>
      <w:pPr>
        <w:jc w:val="both"/>
        <w:spacing w:before="100" w:after="0"/>
        <w:ind w:start="1080"/>
      </w:pPr>
      <w:r>
        <w:rPr/>
        <w:t>(</w:t>
        <w:t>1</w:t>
        <w:t xml:space="preserve">)  </w:t>
      </w:r>
      <w:r>
        <w:rPr/>
      </w:r>
      <w:r>
        <w:t xml:space="preserve">The protective custody stemmed from a law enforcement officer's probable cause to believe the person may be mentally ill and presents a likelihood of serious harm because the person possesses, controls or may acquire a dangerous weapon; and</w:t>
      </w:r>
    </w:p>
    <w:p>
      <w:pPr>
        <w:jc w:val="both"/>
        <w:spacing w:before="100" w:after="0"/>
        <w:ind w:start="1080"/>
      </w:pPr>
      <w:r>
        <w:rPr/>
        <w:t>(</w:t>
        <w:t>2</w:t>
        <w:t xml:space="preserve">)  </w:t>
      </w:r>
      <w:r>
        <w:rPr/>
      </w:r>
      <w:r>
        <w:t xml:space="preserve">An examination under section 3863 has occurred.</w:t>
      </w:r>
      <w:r>
        <w:t xml:space="preserve">  </w:t>
      </w:r>
      <w:r xmlns:wp="http://schemas.openxmlformats.org/drawingml/2010/wordprocessingDrawing" xmlns:w15="http://schemas.microsoft.com/office/word/2012/wordml">
        <w:rPr>
          <w:rFonts w:ascii="Arial" w:hAnsi="Arial" w:cs="Arial"/>
          <w:sz w:val="22"/>
          <w:szCs w:val="22"/>
        </w:rPr>
        <w:t xml:space="preserve">[PL 2023, c. 675, §14 (NEW).]</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§§12-14 (AMD).]</w:t>
      </w:r>
    </w:p>
    <w:p>
      <w:pPr>
        <w:jc w:val="both"/>
        <w:spacing w:before="100" w:after="100"/>
        <w:ind w:start="360"/>
        <w:ind w:firstLine="360"/>
      </w:pPr>
      <w:r>
        <w:rPr>
          <w:b/>
        </w:rPr>
        <w:t>2-A</w:t>
        <w:t xml:space="preserve">.  </w:t>
      </w:r>
      <w:r>
        <w:rPr>
          <w:b/>
        </w:rPr>
        <w:t xml:space="preserve">Protective custody warrant for purposes of conducting an assessment.</w:t>
        <w:t xml:space="preserve"> </w:t>
      </w:r>
      <w:r>
        <w:t xml:space="preserve"> </w:t>
      </w:r>
      <w:r>
        <w:t xml:space="preserve">If a law enforcement officer is unable to take a person into protective custody to conduct an assessment under this section, the law enforcement officer may apply for a protective custody warrant. The officer must submit an affidavit of probable cause for a protective custody warrant to a Justice of the Superior Court, a Judge of the District Court or a justice of the peace.</w:t>
      </w:r>
    </w:p>
    <w:p>
      <w:pPr>
        <w:jc w:val="both"/>
        <w:spacing w:before="100" w:after="0"/>
        <w:ind w:start="360"/>
      </w:pPr>
      <w:r>
        <w:rPr/>
      </w:r>
      <w:r>
        <w:rPr/>
      </w:r>
      <w:r>
        <w:t xml:space="preserve">The justice, judge or justice of the peace shall issue a protective custody warrant and promptly transmit that warrant to the officer for execution upon finding the affidavit under this subsection is sufficient to establish:</w:t>
      </w:r>
    </w:p>
    <w:p>
      <w:pPr>
        <w:jc w:val="both"/>
        <w:spacing w:before="100" w:after="0"/>
        <w:ind w:start="720"/>
      </w:pPr>
      <w:r>
        <w:rPr/>
        <w:t>A</w:t>
        <w:t xml:space="preserve">.  </w:t>
      </w:r>
      <w:r>
        <w:rPr/>
      </w:r>
      <w:r>
        <w:t xml:space="preserve">Probable cause to believe that the person may be mentally ill and due to that condition presents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B</w:t>
        <w:t xml:space="preserve">.  </w:t>
      </w:r>
      <w:r>
        <w:rPr/>
      </w:r>
      <w:r>
        <w:t xml:space="preserve">Probable cause to believe that the person possesses, controls or may acquire a dangerous weapon; and</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C</w:t>
        <w:t xml:space="preserve">.  </w:t>
      </w:r>
      <w:r>
        <w:rPr/>
      </w:r>
      <w:r>
        <w:t xml:space="preserve">That the officer has made reasonable attempts to take the person into custody without a warrant.</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360"/>
      </w:pPr>
      <w:r>
        <w:rPr/>
      </w:r>
      <w:r>
        <w:rPr/>
      </w:r>
      <w:r>
        <w:t xml:space="preserve">A warrant transmitted by facsimile machine or an electronic warrant transmitted by secure electronic means has the same legal effect and validity as an original endorsement signed by the justice, judge or justice of the peace. The electronic protective custody warrant or paper protective custody warrant may be executed by a law enforcement officer authorized to take the person into protective custody as provided in </w:t>
      </w:r>
      <w:r>
        <w:t>section 3862,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§15 (NEW).]</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took the person into protective custody under </w:t>
      </w:r>
      <w:r>
        <w:t>section 3862, subsection 1, paragraph B</w:t>
      </w:r>
      <w:r>
        <w:t xml:space="preserve"> that, based on the assessment, the person is found to present a likelihood of foreseeable harm.  If so notified, the law enforcement officer or law enforcement agency shall as soon as practicable seek endorsement by a Justice of the Superior Court, a Judge of the District Court or a justice of the peace of the medical practitioner's assessment and law enforcement's declarations that the person was taken into protective custody and that the law enforcement officer has probable cause to believe that the person possesses, controls or may acquire a dangerous weapon.  The justice or judge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§16 (AMD).]</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30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w:pPr>
        <w:jc w:val="both"/>
        <w:spacing w:before="100" w:after="0"/>
        <w:ind w:start="720"/>
      </w:pPr>
      <w:r>
        <w:rPr/>
        <w:t>B</w:t>
        <w:t xml:space="preserve">.  </w:t>
      </w:r>
      <w:r>
        <w:rPr/>
      </w:r>
      <w:r>
        <w:t xml:space="preserve">A law enforcement officer shall, as soon as practicable after the judicial endorsement, unless the restricted person is medically incapacitated, in which case within 48 hours after the law enforcement officer has been notified that the person is no longer medically incapacitated:</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30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where the person was taken into protective custody of the person's restricted status;</w:t>
      </w:r>
    </w:p>
    <w:p>
      <w:pPr>
        <w:jc w:val="both"/>
        <w:spacing w:before="100" w:after="0"/>
        <w:ind w:start="1080"/>
      </w:pPr>
      <w:r>
        <w:rPr/>
        <w:t>(</w:t>
        <w:t>3</w:t>
        <w:t xml:space="preserve">)  </w:t>
      </w:r>
      <w:r>
        <w:rPr/>
      </w:r>
      <w:r>
        <w:t xml:space="preserve">Report the person's restricted status to the Department of Public Safety as soon as practicable; and</w:t>
      </w:r>
    </w:p>
    <w:p>
      <w:pPr>
        <w:jc w:val="both"/>
        <w:spacing w:before="100" w:after="0"/>
        <w:ind w:start="1080"/>
      </w:pPr>
      <w:r>
        <w:rPr/>
        <w:t>(</w:t>
        <w:t>4</w:t>
        <w:t xml:space="preserve">)  </w:t>
      </w:r>
      <w:r>
        <w:rPr/>
      </w:r>
      <w:r>
        <w:t xml:space="preserve">Provide a copy to the court of the notification to the restricted person, including 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§17 (AMD).]</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w:t>
      </w:r>
      <w:r>
        <w:t>E‑2</w:t>
      </w:r>
      <w:r>
        <w:t xml:space="preserve">.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14 days of the date of the notice given to a restricted person under </w:t>
      </w:r>
      <w:r>
        <w:t>subsection 4, paragraph B</w:t>
      </w:r>
      <w:r>
        <w:t xml:space="preserve">, the court shall schedule a hearing in the district where the person was taken into protective custody and provide notice of the hearing to the restricted person and the district attorney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2023, c. 675, §18 (AMD).]</w:t>
      </w:r>
    </w:p>
    <w:p>
      <w:pPr>
        <w:jc w:val="both"/>
        <w:spacing w:before="100" w:after="0"/>
        <w:ind w:start="720"/>
      </w:pPr>
      <w:r>
        <w:rPr/>
        <w:t>B</w:t>
        <w:t xml:space="preserve">.  </w:t>
      </w:r>
      <w:r>
        <w:rPr/>
      </w:r>
      <w:r>
        <w:t xml:space="preserve">Within 30 days of the notice given under </w:t>
      </w:r>
      <w:r>
        <w:t>subsection 4</w:t>
      </w:r>
      <w:r>
        <w:t xml:space="preserve">, the court shall hold a hearing to determine whether to dissolve or extend the initial restrictions. Upon a showing of good cause, the court may extend the time to hold the hearing.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2023, c. 675, §19 (AMD).]</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may consider affidavits and other reliable hearsay in making this determination.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2023, c. 675, §20 (AMD).]</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within 72 hours of the order's being issued.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2023, c. 675,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§§18-21 (AMD).]</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PL 2023, c. 675, §§10-21 (AMD). </w:t>
      </w:r>
    </w:p>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jc w:val="center"/>
        <w:ind w:start="360"/>
        <w:spacing w:before="300" w:after="300"/>
      </w:pPr>
      <w:r>
        <w:rPr>
          <w:b/>
        </w:rPr>
        <w:t>SUBCHAPTER</w:t>
        <w:t xml:space="preserve"> </w:t>
        <w:t>5</w:t>
      </w:r>
    </w:p>
    <w:p>
      <w:pPr>
        <w:jc w:val="center"/>
        <w:ind w:start="360"/>
        <w:spacing w:before="300" w:after="300"/>
      </w:pPr>
      <w:r>
        <w:rPr>
          <w:b/>
        </w:rPr>
        <w:t xml:space="preserve">MAINE COMMISSION ON MENTAL HEALTH</w:t>
      </w:r>
    </w:p>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jc w:val="center"/>
        <w:ind w:start="360"/>
        <w:spacing w:before="300" w:after="300"/>
      </w:pPr>
      <w:r>
        <w:rPr>
          <w:b/>
        </w:rPr>
        <w:t>SUBCHAPTER</w:t>
        <w:t xml:space="preserve"> </w:t>
        <w:t>7</w:t>
      </w:r>
    </w:p>
    <w:p>
      <w:pPr>
        <w:jc w:val="center"/>
        <w:ind w:start="360"/>
        <w:spacing w:before="300" w:after="300"/>
      </w:pPr>
      <w:r>
        <w:rPr>
          <w:b/>
        </w:rPr>
        <w:t xml:space="preserve">MENTAL HEALTH CASE MANAGEMENT SERVICES FOR VETERANS</w:t>
      </w:r>
    </w:p>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3.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