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Appointment of physician</w:t>
      </w:r>
    </w:p>
    <w:p>
      <w:pPr>
        <w:jc w:val="both"/>
        <w:spacing w:before="100" w:after="100"/>
        <w:ind w:start="360"/>
        <w:ind w:firstLine="360"/>
      </w:pPr>
      <w:r>
        <w:rPr/>
      </w:r>
      <w:r>
        <w:rPr/>
      </w:r>
      <w:r>
        <w:t xml:space="preserve">In every state institution to which a person with mental illness or a person with an intellectual disability or autism may be committed, the commissioner shall appoint a physician experienced in the care and treatment of such persons and the necessary assistants to the physician.</w:t>
      </w:r>
      <w:r>
        <w:t xml:space="preserve">  </w:t>
      </w:r>
      <w:r xmlns:wp="http://schemas.openxmlformats.org/drawingml/2010/wordprocessingDrawing" xmlns:w15="http://schemas.microsoft.com/office/word/2012/wordml">
        <w:rPr>
          <w:rFonts w:ascii="Arial" w:hAnsi="Arial" w:cs="Arial"/>
          <w:sz w:val="22"/>
          <w:szCs w:val="22"/>
        </w:rPr>
        <w:t xml:space="preserve">[PL 2011, c. 542, Pt. 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Appointment of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Appointment of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§1407. APPOINTMENT OF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