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5463</w:t>
        <w:t xml:space="preserve">.  </w:t>
      </w:r>
      <w:r>
        <w:rPr>
          <w:b/>
        </w:rPr>
        <w:t xml:space="preserve">Notice</w:t>
      </w:r>
    </w:p>
    <w:p>
      <w:pPr>
        <w:jc w:val="both"/>
        <w:spacing w:before="100" w:after="100"/>
        <w:ind w:start="360"/>
        <w:ind w:firstLine="360"/>
      </w:pPr>
      <w:r>
        <w:rPr/>
      </w:r>
      <w:r>
        <w:rPr/>
      </w:r>
      <w:r>
        <w:t xml:space="preserve">The commissioner shall provide the client, if the client is competent; the client's next of kin or guardian, if any exists; and the client's advocate with timely written notice in advance of procedures and actions to be taken with respect to the development, implementation and assessment of personal plans and service plans.</w:t>
      </w:r>
      <w:r>
        <w:t xml:space="preserve">  </w:t>
      </w:r>
      <w:r xmlns:wp="http://schemas.openxmlformats.org/drawingml/2010/wordprocessingDrawing" xmlns:w15="http://schemas.microsoft.com/office/word/2012/wordml">
        <w:rPr>
          <w:rFonts w:ascii="Arial" w:hAnsi="Arial" w:cs="Arial"/>
          <w:sz w:val="22"/>
          <w:szCs w:val="22"/>
        </w:rPr>
        <w:t xml:space="preserve">[PL 2003, c. 389,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