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§7007. Submitting petition to determine informed consent;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Submitting petition to determine informed consent;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§7007. SUBMITTING PETITION TO DETERMINE INFORMED CONSENT;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