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9010</w:t>
        <w:t xml:space="preserve">.  </w:t>
      </w:r>
      <w:r>
        <w:rPr>
          <w:b/>
        </w:rPr>
        <w:t xml:space="preserve">Compact administrators--Article X</w:t>
      </w:r>
    </w:p>
    <w:p>
      <w:pPr>
        <w:jc w:val="both"/>
        <w:spacing w:before="100" w:after="0"/>
        <w:ind w:start="360"/>
        <w:ind w:firstLine="360"/>
      </w:pPr>
      <w:r>
        <w:rPr>
          <w:b/>
        </w:rPr>
        <w:t>1</w:t>
        <w:t xml:space="preserve">.  </w:t>
      </w:r>
      <w:r>
        <w:rPr>
          <w:b/>
        </w:rPr>
        <w:t xml:space="preserve">Duties.</w:t>
        <w:t xml:space="preserve"> </w:t>
      </w:r>
      <w:r>
        <w:t xml:space="preserve"> </w:t>
      </w:r>
      <w:r>
        <w:t xml:space="preserve">Each party state shall appoint a "compact administrator"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The compact administrators of the respective party states shall have power to promulgate reasonable rules and regulations to carry out more effectively the terms and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§9010. Compact administrators--Article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§9010. Compact administrators--Article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§9010. COMPACT ADMINISTRATORS--ARTICLE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