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9012</w:t>
        <w:t xml:space="preserve">.  </w:t>
      </w:r>
      <w:r>
        <w:rPr>
          <w:b/>
        </w:rPr>
        <w:t xml:space="preserve">Effective date of compact--Article XII</w:t>
      </w:r>
    </w:p>
    <w:p>
      <w:pPr>
        <w:jc w:val="both"/>
        <w:spacing w:before="100" w:after="100"/>
        <w:ind w:start="360"/>
        <w:ind w:firstLine="360"/>
      </w:pPr>
      <w:r>
        <w:rPr/>
      </w:r>
      <w:r>
        <w:rPr/>
      </w:r>
      <w:r>
        <w:t xml:space="preserve">This compact shall enter into full force and effect as to any state when enacted by it into law and such state shall thereafter be a party thereto with any and all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§9012. Effective date of compact--Article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§9012. Effective date of compact--Article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§9012. EFFECTIVE DATE OF COMPACT--ARTICLE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