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DUTIES OF TELEGRAPH UTILITIES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§C16 (AMD). PL 1995, c. 225, §15 (RP). </w:t>
      </w:r>
    </w:p>
    <w:p>
      <w:pPr>
        <w:jc w:val="both"/>
        <w:spacing w:before="100" w:after="100"/>
        <w:ind w:start="1080" w:hanging="720"/>
      </w:pPr>
      <w:r>
        <w:rPr>
          <w:b/>
        </w:rPr>
        <w:t>§</w:t>
        <w:t>8102</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 DUTIES OF TELEGRAPH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DUTIES OF TELEGRAPH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81. DUTIES OF TELEGRAPH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