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Conflicts of interest; financial disclosure statements</w:t>
      </w:r>
    </w:p>
    <w:p>
      <w:pPr>
        <w:jc w:val="both"/>
        <w:spacing w:before="100" w:after="100"/>
        <w:ind w:start="360"/>
        <w:ind w:firstLine="360"/>
      </w:pPr>
      <w:r>
        <w:rPr/>
      </w:r>
      <w:r>
        <w:rPr/>
      </w:r>
      <w:r>
        <w:t xml:space="preserve">Each trustee is an "executive employee" for purposes of </w:t>
      </w:r>
      <w:r>
        <w:t>Title 5, sections 18</w:t>
      </w:r>
      <w:r>
        <w:t xml:space="preserve">, </w:t>
      </w:r>
      <w:r>
        <w:t>18‑A</w:t>
      </w:r>
      <w:r>
        <w:t xml:space="preserve"> and </w:t>
      </w:r>
      <w:r>
        <w:t>19</w:t>
      </w:r>
      <w:r>
        <w:t xml:space="preserve">.  A trustee or employee of the trust or a spouse or dependent child of any of those individuals may not receive any direct personal benefit from the activities of the trust in assisting any private entity.  This section does not prohibit corporations or other entities with which a trustee is associated by reason of ownership or employment from participating in program activities with the trust if ownership or employment is made known to the board and the trustee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2009, c. 518,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§10107. Conflicts of interest; financial disclosure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Conflicts of interest; financial disclosure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§10107. CONFLICTS OF INTEREST; FINANCIAL DISCLOSURE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